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1A39005" w14:textId="77777777" w:rsidR="00EF3C1B" w:rsidRDefault="00000000">
      <w:pPr>
        <w:pStyle w:val="Balk2"/>
        <w:spacing w:after="150"/>
        <w:divId w:val="958031063"/>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Ortaokulu Müdürlüğü</w:t>
      </w:r>
      <w:r>
        <w:rPr>
          <w:rFonts w:eastAsia="Times New Roman"/>
          <w:color w:val="000000"/>
        </w:rPr>
        <w:br/>
      </w:r>
      <w:r>
        <w:rPr>
          <w:rFonts w:eastAsia="Times New Roman"/>
          <w:color w:val="000000"/>
        </w:rPr>
        <w:br/>
        <w:t>2026-2027 EĞİTİM ÖĞRETİM YILI 2. DÖNEM BAŞI</w:t>
      </w:r>
      <w:r>
        <w:rPr>
          <w:rFonts w:eastAsia="Times New Roman"/>
          <w:color w:val="000000"/>
        </w:rPr>
        <w:br/>
        <w:t xml:space="preserve">1. SINIF ZÜMRE ÖĞRETMENLERİ KURULU TOPLANTI TUTANAĞI </w:t>
      </w:r>
    </w:p>
    <w:p w14:paraId="4AD8C218" w14:textId="4CFCDFF8" w:rsidR="00EF3C1B" w:rsidRDefault="00000000">
      <w:pPr>
        <w:divId w:val="732316788"/>
        <w:rPr>
          <w:rFonts w:eastAsia="Times New Roman"/>
          <w:color w:val="000000"/>
        </w:rPr>
      </w:pPr>
      <w:r>
        <w:rPr>
          <w:rStyle w:val="Gl"/>
          <w:rFonts w:eastAsia="Times New Roman"/>
          <w:color w:val="000000"/>
        </w:rPr>
        <w:t>TOPLANTI TARİHİ:</w:t>
      </w:r>
      <w:r>
        <w:rPr>
          <w:rFonts w:eastAsia="Times New Roman"/>
          <w:color w:val="000000"/>
        </w:rPr>
        <w:t xml:space="preserve"> </w:t>
      </w:r>
      <w:r w:rsidR="00BC5AA8" w:rsidRPr="00BC5AA8">
        <w:rPr>
          <w:rFonts w:eastAsia="Times New Roman"/>
          <w:color w:val="000000"/>
        </w:rPr>
        <w:t>26.02.2027</w:t>
      </w:r>
      <w:r>
        <w:rPr>
          <w:rFonts w:eastAsia="Times New Roman"/>
          <w:color w:val="000000"/>
        </w:rPr>
        <w:br/>
      </w:r>
      <w:r>
        <w:rPr>
          <w:rStyle w:val="Gl"/>
          <w:rFonts w:eastAsia="Times New Roman"/>
          <w:color w:val="000000"/>
        </w:rPr>
        <w:t>TOPLANTI SAATİ:</w:t>
      </w:r>
      <w:r>
        <w:rPr>
          <w:rFonts w:eastAsia="Times New Roman"/>
          <w:color w:val="000000"/>
        </w:rPr>
        <w:t xml:space="preserve"> 1</w:t>
      </w:r>
      <w:r w:rsidR="00BC5AA8">
        <w:rPr>
          <w:rFonts w:eastAsia="Times New Roman"/>
          <w:color w:val="000000"/>
        </w:rPr>
        <w:t>6</w:t>
      </w:r>
      <w:r>
        <w:rPr>
          <w:rFonts w:eastAsia="Times New Roman"/>
          <w:color w:val="000000"/>
        </w:rPr>
        <w:t>:00</w:t>
      </w:r>
      <w:r>
        <w:rPr>
          <w:rFonts w:eastAsia="Times New Roman"/>
          <w:color w:val="000000"/>
        </w:rPr>
        <w:br/>
      </w:r>
      <w:r>
        <w:rPr>
          <w:rStyle w:val="Gl"/>
          <w:rFonts w:eastAsia="Times New Roman"/>
          <w:color w:val="000000"/>
        </w:rPr>
        <w:t>TOPLANTI YERİ:</w:t>
      </w:r>
      <w:r>
        <w:rPr>
          <w:rFonts w:eastAsia="Times New Roman"/>
          <w:color w:val="000000"/>
        </w:rPr>
        <w:t xml:space="preserve"> Öğretmenler odası</w:t>
      </w:r>
      <w:r>
        <w:rPr>
          <w:rFonts w:eastAsia="Times New Roman"/>
          <w:color w:val="000000"/>
        </w:rPr>
        <w:br/>
      </w:r>
      <w:r>
        <w:rPr>
          <w:rStyle w:val="Gl"/>
          <w:rFonts w:eastAsia="Times New Roman"/>
          <w:color w:val="000000"/>
        </w:rPr>
        <w:t>DÖNEM:</w:t>
      </w:r>
      <w:r>
        <w:rPr>
          <w:rFonts w:eastAsia="Times New Roman"/>
          <w:color w:val="000000"/>
        </w:rPr>
        <w:t xml:space="preserve"> 2. DÖNEM</w:t>
      </w:r>
      <w:r>
        <w:rPr>
          <w:rFonts w:eastAsia="Times New Roman"/>
          <w:color w:val="000000"/>
        </w:rPr>
        <w:br/>
      </w:r>
      <w:r>
        <w:rPr>
          <w:rStyle w:val="Gl"/>
          <w:rFonts w:eastAsia="Times New Roman"/>
          <w:color w:val="000000"/>
        </w:rPr>
        <w:t>ZÜMRE:</w:t>
      </w:r>
      <w:r>
        <w:rPr>
          <w:rFonts w:eastAsia="Times New Roman"/>
          <w:color w:val="000000"/>
        </w:rPr>
        <w:t xml:space="preserve"> 1. Sınıf </w:t>
      </w:r>
    </w:p>
    <w:p w14:paraId="789AE7FC" w14:textId="77777777" w:rsidR="00EF3C1B" w:rsidRDefault="00000000">
      <w:pPr>
        <w:pStyle w:val="Balk3"/>
        <w:spacing w:after="225"/>
        <w:divId w:val="953514484"/>
        <w:rPr>
          <w:rFonts w:eastAsia="Times New Roman"/>
          <w:color w:val="000000"/>
        </w:rPr>
      </w:pPr>
      <w:r>
        <w:rPr>
          <w:rFonts w:eastAsia="Times New Roman"/>
          <w:color w:val="000000"/>
        </w:rPr>
        <w:t>TOPLANTIYA KATILANLAR:</w:t>
      </w:r>
    </w:p>
    <w:p w14:paraId="69C2A382" w14:textId="77777777" w:rsidR="00EF3C1B" w:rsidRDefault="00000000">
      <w:pPr>
        <w:divId w:val="953514484"/>
        <w:rPr>
          <w:rFonts w:eastAsia="Times New Roman"/>
          <w:color w:val="000000"/>
        </w:rPr>
      </w:pPr>
      <w:r>
        <w:rPr>
          <w:rFonts w:eastAsia="Times New Roman"/>
          <w:color w:val="000000"/>
        </w:rPr>
        <w:t>Meryem YILMAZ(Zümre Başkanı)</w:t>
      </w:r>
      <w:r>
        <w:rPr>
          <w:rFonts w:eastAsia="Times New Roman"/>
          <w:color w:val="000000"/>
        </w:rPr>
        <w:br/>
        <w:t>Fatma ÖZTÜRK(Öğretmen)</w:t>
      </w:r>
      <w:r>
        <w:rPr>
          <w:rFonts w:eastAsia="Times New Roman"/>
          <w:color w:val="000000"/>
        </w:rPr>
        <w:br/>
        <w:t xml:space="preserve">Ayşe GEZER ORAL(Öğretmen) </w:t>
      </w:r>
    </w:p>
    <w:p w14:paraId="6B07A0E5" w14:textId="77777777" w:rsidR="00EF3C1B" w:rsidRDefault="00000000">
      <w:pPr>
        <w:pStyle w:val="Balk3"/>
        <w:spacing w:after="225"/>
        <w:divId w:val="1615208069"/>
        <w:rPr>
          <w:rFonts w:eastAsia="Times New Roman"/>
          <w:color w:val="000000"/>
        </w:rPr>
      </w:pPr>
      <w:r>
        <w:rPr>
          <w:rFonts w:eastAsia="Times New Roman"/>
          <w:color w:val="000000"/>
        </w:rPr>
        <w:t>GÜNDEM MADDELERİ:</w:t>
      </w:r>
    </w:p>
    <w:p w14:paraId="1EB455E6"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Açılış, yoklama ve zümre başkanının seçimi</w:t>
      </w:r>
    </w:p>
    <w:p w14:paraId="075010D4"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Millî Eğitim mevzuatındaki yenilikler, yeni gelen genelge, yönerge ve tebliğlerin incelenmesi</w:t>
      </w:r>
    </w:p>
    <w:p w14:paraId="25A2584E"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Atatürk İlke ve İnkılâpları öğretim esasları yönergesi doğrultusunda Atatürkçülük konularının derslere entegrasyonu</w:t>
      </w:r>
    </w:p>
    <w:p w14:paraId="60226028"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Derslerin işlenişinde kullanılacak öğretim yöntem ve tekniklerin belirlenmesi</w:t>
      </w:r>
    </w:p>
    <w:p w14:paraId="21CFC4BC"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Dersin işlenişinde kullanılacak araç-gereç, materyal, laboratuvar, atölye, kütüphane gibi eğitim ortamlarının etkin kullanımına yönelik planlamalar</w:t>
      </w:r>
    </w:p>
    <w:p w14:paraId="3ABB30D8"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Bireyselleştirilmiş Eğitim Programı (BEP) uygulamaları kapsamında özel eğitim ihtiyacı olan öğrenciler için yapılacak planlamalar</w:t>
      </w:r>
    </w:p>
    <w:p w14:paraId="3A4DB26C"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Öğrencilerin yaratıcılığını, özgünlük duygusunu ve girişimcilik bilincini geliştirmeye yönelik etkinliklerin belirlenmesi</w:t>
      </w:r>
    </w:p>
    <w:p w14:paraId="51C2BEE9"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Türk dilinin doğru ve etkili kullanımının desteklenmesi için yapılacak çalışmaların planlanması</w:t>
      </w:r>
    </w:p>
    <w:p w14:paraId="3722DD24"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Okuryazarlık Temellerinin Bireysel Destekle Güçlendirilmesi</w:t>
      </w:r>
    </w:p>
    <w:p w14:paraId="4F8A8884"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Temel Matematiksel Düşünme Mantığının Geliştirilmesi</w:t>
      </w:r>
    </w:p>
    <w:p w14:paraId="10A41303"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Öğrencilerin başarı durumlarının değerlendirilmesi; başarısızlığın nedenleri ve başarıyı artırıcı önlemlerin görüşülmesi</w:t>
      </w:r>
    </w:p>
    <w:p w14:paraId="017A1284"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İkinci dönemde yapılacak çalışmaların ve hedeflerin belirlenmesi</w:t>
      </w:r>
    </w:p>
    <w:p w14:paraId="4324FCD0"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Yazma Öncesi İnce Motor Becerilerinin Gelişimi</w:t>
      </w:r>
    </w:p>
    <w:p w14:paraId="7D038D81" w14:textId="77777777" w:rsidR="00EF3C1B" w:rsidRP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Dilek ve Temenniler</w:t>
      </w:r>
    </w:p>
    <w:p w14:paraId="0C588048" w14:textId="5413B3F4" w:rsidR="00A95A4C" w:rsidRDefault="00000000" w:rsidP="00A95A4C">
      <w:pPr>
        <w:pStyle w:val="ListeParagraf"/>
        <w:numPr>
          <w:ilvl w:val="0"/>
          <w:numId w:val="2"/>
        </w:numPr>
        <w:spacing w:after="450"/>
        <w:divId w:val="1615208069"/>
        <w:rPr>
          <w:rFonts w:eastAsia="Times New Roman"/>
          <w:color w:val="000000"/>
        </w:rPr>
      </w:pPr>
      <w:r w:rsidRPr="00A95A4C">
        <w:rPr>
          <w:rFonts w:eastAsia="Times New Roman"/>
          <w:color w:val="000000"/>
        </w:rPr>
        <w:t>Kapanış</w:t>
      </w:r>
    </w:p>
    <w:p w14:paraId="2ED8F3F4" w14:textId="25401B57" w:rsidR="00EF3C1B" w:rsidRPr="00A95A4C" w:rsidRDefault="00A95A4C" w:rsidP="00A95A4C">
      <w:pPr>
        <w:rPr>
          <w:rFonts w:eastAsia="Times New Roman"/>
          <w:color w:val="000000"/>
        </w:rPr>
      </w:pPr>
      <w:r>
        <w:rPr>
          <w:rFonts w:eastAsia="Times New Roman"/>
          <w:color w:val="000000"/>
        </w:rPr>
        <w:br w:type="page"/>
      </w:r>
    </w:p>
    <w:p w14:paraId="3A3E0BB8" w14:textId="77777777" w:rsidR="00EF3C1B" w:rsidRDefault="00000000">
      <w:pPr>
        <w:pStyle w:val="Balk3"/>
        <w:spacing w:after="225"/>
        <w:divId w:val="1905211495"/>
        <w:rPr>
          <w:rFonts w:eastAsia="Times New Roman"/>
          <w:color w:val="000000"/>
        </w:rPr>
      </w:pPr>
      <w:r>
        <w:rPr>
          <w:rFonts w:eastAsia="Times New Roman"/>
          <w:color w:val="000000"/>
        </w:rPr>
        <w:lastRenderedPageBreak/>
        <w:t>GÜNDEM MADDELERİNİN GÖRÜŞÜLMESİ:</w:t>
      </w:r>
    </w:p>
    <w:p w14:paraId="79546935" w14:textId="77777777" w:rsidR="00EF3C1B" w:rsidRDefault="00000000">
      <w:pPr>
        <w:pStyle w:val="NormalWeb"/>
        <w:divId w:val="1905211495"/>
        <w:rPr>
          <w:color w:val="000000"/>
        </w:rPr>
      </w:pPr>
      <w:r>
        <w:rPr>
          <w:rStyle w:val="Gl"/>
          <w:color w:val="000000"/>
        </w:rPr>
        <w:t>1. Açılış, yoklama ve zümre başkanının seçimi:</w:t>
      </w:r>
    </w:p>
    <w:p w14:paraId="36550E84" w14:textId="77777777" w:rsidR="00EF3C1B" w:rsidRDefault="00000000">
      <w:pPr>
        <w:pStyle w:val="NormalWeb"/>
        <w:divId w:val="1905211495"/>
        <w:rPr>
          <w:color w:val="000000"/>
        </w:rPr>
      </w:pPr>
      <w:r>
        <w:rPr>
          <w:color w:val="000000"/>
        </w:rPr>
        <w:t>Toplantı Zümre Başkanı Meryem YILMAZ başkanlığında başlatıldı. Yoklama yapıldı ve toplantıya geçildi.</w:t>
      </w:r>
    </w:p>
    <w:p w14:paraId="781AA5F5" w14:textId="77777777" w:rsidR="00EF3C1B" w:rsidRDefault="00000000">
      <w:pPr>
        <w:pStyle w:val="NormalWeb"/>
        <w:divId w:val="1905211495"/>
        <w:rPr>
          <w:color w:val="000000"/>
        </w:rPr>
      </w:pPr>
      <w:r>
        <w:rPr>
          <w:rStyle w:val="Gl"/>
          <w:color w:val="000000"/>
        </w:rPr>
        <w:t>2. Millî Eğitim mevzuatındaki yenilikler, yeni gelen genelge, yönerge ve tebliğlerin incelenmesi:</w:t>
      </w:r>
    </w:p>
    <w:p w14:paraId="315D9733" w14:textId="77777777" w:rsidR="00EF3C1B" w:rsidRDefault="00000000">
      <w:pPr>
        <w:pStyle w:val="NormalWeb"/>
        <w:divId w:val="1905211495"/>
        <w:rPr>
          <w:color w:val="000000"/>
        </w:rPr>
      </w:pPr>
      <w:r>
        <w:rPr>
          <w:color w:val="000000"/>
        </w:rPr>
        <w:t>Millî Eğitim Bakanlığı'ndan (MEB) gelen yeni genelge, yönerge ve tebliğler ve öğrenci devamsızlıkları konularındaki düzenlemeler incelendi. Yeni mevzuatın, okulun idari ve akademik süreçlerine etkileri detaylı olarak görüşüldü. Bu düzenlemelerin öğretmenler tarafından doğru anlaşılması ve uygulanması konusunda gerekli bilgilendirmeler yapıldı. Meryem YILMAZ, yeni tebliğlerdeki ölçme-değerlendirme yöntemleriyle ilgili bölümlerin tüm zümrelerce ortak bir anlayışla yorumlanması için bir eğitim düzenlenmesini önerdi.</w:t>
      </w:r>
    </w:p>
    <w:p w14:paraId="6E7E4848" w14:textId="77777777" w:rsidR="00EF3C1B" w:rsidRDefault="00000000">
      <w:pPr>
        <w:pStyle w:val="NormalWeb"/>
        <w:divId w:val="1905211495"/>
        <w:rPr>
          <w:color w:val="000000"/>
        </w:rPr>
      </w:pPr>
      <w:r>
        <w:rPr>
          <w:rStyle w:val="Gl"/>
          <w:color w:val="000000"/>
        </w:rPr>
        <w:t>3. Atatürk İlke ve İnkılâpları öğretim esasları yönergesi doğrultusunda Atatürkçülük konularının derslere entegrasyonu:</w:t>
      </w:r>
    </w:p>
    <w:p w14:paraId="7DA7DA4E" w14:textId="77777777" w:rsidR="00EF3C1B" w:rsidRDefault="00000000">
      <w:pPr>
        <w:pStyle w:val="NormalWeb"/>
        <w:divId w:val="1905211495"/>
        <w:rPr>
          <w:color w:val="000000"/>
        </w:rPr>
      </w:pPr>
      <w:r>
        <w:rPr>
          <w:color w:val="000000"/>
        </w:rPr>
        <w:t>Atatürk İlke ve İnkılâpları Öğretim Esasları Yönergesi doğrultusunda, Atatürkçülük konularının derslere yüzeysel değil, derinlemesine ve anlamlı bir şekilde entegrasyonu planlandı. Bu entegrasyonun tarih dersleriyle sınırlı kalmaması, bilimsellik ve akılcılık ilkesinin tüm derslerde vurgulanması gerektiği belirtildi.</w:t>
      </w:r>
    </w:p>
    <w:p w14:paraId="2B6ECEC2" w14:textId="77777777" w:rsidR="00EF3C1B" w:rsidRDefault="00000000">
      <w:pPr>
        <w:pStyle w:val="NormalWeb"/>
        <w:divId w:val="1905211495"/>
        <w:rPr>
          <w:color w:val="000000"/>
        </w:rPr>
      </w:pPr>
      <w:r>
        <w:rPr>
          <w:color w:val="000000"/>
        </w:rPr>
        <w:t>Özellikle bilim, sanat, çağdaşlaşma ve demokrasi gibi ilkelerin tüm derslerin içeriğine yerleştirilmesi için disiplinlerarası bir yaklaşım benimsendi ve örnek uygulama senaryoları paylaşıldı. Meryem YILMAZ, Atatürk'ün eğitim ve sanat alanındaki vizyonunu anlatan kısa proje ödevlerinin öğrencilere verilerek, konunun sadece teoride kalmasının önüne geçilebileceği önerisinde bulundu. Bu konuda tüm zümrelerin, kendi derslerine özgü entegrasyon örneklerini bir sonraki zümre toplantısına hazırlaması kararlaştırıldı.</w:t>
      </w:r>
    </w:p>
    <w:p w14:paraId="54FEBC05" w14:textId="77777777" w:rsidR="00EF3C1B" w:rsidRDefault="00000000">
      <w:pPr>
        <w:pStyle w:val="NormalWeb"/>
        <w:divId w:val="1905211495"/>
        <w:rPr>
          <w:color w:val="000000"/>
        </w:rPr>
      </w:pPr>
      <w:r>
        <w:rPr>
          <w:rStyle w:val="Gl"/>
          <w:color w:val="000000"/>
        </w:rPr>
        <w:t>4. Derslerin işlenişinde kullanılacak öğretim yöntem ve tekniklerin belirlenmesi:</w:t>
      </w:r>
    </w:p>
    <w:p w14:paraId="4B7FF9F6" w14:textId="77777777" w:rsidR="00EF3C1B" w:rsidRDefault="00000000">
      <w:pPr>
        <w:pStyle w:val="NormalWeb"/>
        <w:divId w:val="1905211495"/>
        <w:rPr>
          <w:color w:val="000000"/>
        </w:rPr>
      </w:pPr>
      <w:r>
        <w:rPr>
          <w:color w:val="000000"/>
        </w:rPr>
        <w:t>Derslerin işlenişinde öğrenci katılımını maksimize edecek, öğrencinin aktif olduğu ve kalıcı öğrenmeyi sağlayacak modern öğretim yöntem ve teknikleri detaylı olarak belirlendi. Oyunlaştırma, problem çözme ve ters yüz sınıf gibi yaklaşımlara öncelik verilmesi kararlaştırıldı.</w:t>
      </w:r>
    </w:p>
    <w:p w14:paraId="07A52CA9" w14:textId="77777777" w:rsidR="00EF3C1B" w:rsidRDefault="00000000">
      <w:pPr>
        <w:pStyle w:val="NormalWeb"/>
        <w:divId w:val="1905211495"/>
        <w:rPr>
          <w:color w:val="000000"/>
        </w:rPr>
      </w:pPr>
      <w:r>
        <w:rPr>
          <w:color w:val="000000"/>
        </w:rPr>
        <w:t>Öğrenci merkezli yaklaşımların uygulanması için öğretmenlerin birbirleriyle en iyi uygulamaları paylaşmaları ve sürekli mesleki gelişim faaliyetlerine katılmaları teşvik edildi. Meryem YILMAZ, özellikle münazara ve simülasyon gibi tekniklerin öğrencilerin iletişim ve müzakere becerilerini geliştirmedeki kritik rolüne dikkat çekti ve bu teknikler için ayrı bir atölye talebinde bulundu. İdare, bu yöntemlerin uygulamasına yönelik, zümreler arası etkileşimi artıracak planlı atölye çalışmaları düzenleneceğini duyurdu.</w:t>
      </w:r>
    </w:p>
    <w:p w14:paraId="66AEFE26" w14:textId="77777777" w:rsidR="00EF3C1B" w:rsidRDefault="00000000">
      <w:pPr>
        <w:pStyle w:val="NormalWeb"/>
        <w:divId w:val="1905211495"/>
        <w:rPr>
          <w:color w:val="000000"/>
        </w:rPr>
      </w:pPr>
      <w:r>
        <w:rPr>
          <w:rStyle w:val="Gl"/>
          <w:color w:val="000000"/>
        </w:rPr>
        <w:t>5. Dersin işlenişinde kullanılacak araç-gereç, materyal, laboratuvar, atölye, kütüphane gibi eğitim ortamlarının etkin kullanımına yönelik planlamalar:</w:t>
      </w:r>
    </w:p>
    <w:p w14:paraId="6258DED4" w14:textId="77777777" w:rsidR="00EF3C1B" w:rsidRDefault="00000000">
      <w:pPr>
        <w:pStyle w:val="NormalWeb"/>
        <w:divId w:val="1905211495"/>
        <w:rPr>
          <w:color w:val="000000"/>
        </w:rPr>
      </w:pPr>
      <w:r>
        <w:rPr>
          <w:color w:val="000000"/>
        </w:rPr>
        <w:t>Dersin işlenişinde kullanılacak araç-gereç, materyal ve eğitim ortamlarının (laboratuvar, atölye, kütüphane vb.) etkin, verimli ve en önemlisi güvenli kullanımına yönelik kapsamlı planlamalar yapıldı. Materyallerin güncelliği ve müfredata tam uygunluğu kontrol edildi.</w:t>
      </w:r>
    </w:p>
    <w:p w14:paraId="066961DB" w14:textId="77777777" w:rsidR="00EF3C1B" w:rsidRDefault="00000000">
      <w:pPr>
        <w:pStyle w:val="NormalWeb"/>
        <w:divId w:val="1905211495"/>
        <w:rPr>
          <w:color w:val="000000"/>
        </w:rPr>
      </w:pPr>
      <w:r>
        <w:rPr>
          <w:color w:val="000000"/>
        </w:rPr>
        <w:lastRenderedPageBreak/>
        <w:t>Dijital tahtaların ve uzaktan erişilebilir online kaynakların derslere entegrasyonu için teknik altyapı iyileştirmeleri ve öğretmen eğitimleri planlandı. Meryem YILMAZ, özellikle deneysel derslerde kullanılan materyallerin standartlarının yükseltilmesi gerektiğini, bu sayede deney sonuçlarının güvenilirliğinin artacağını ve öğrencilerin bilime olan ilgisinin pekişeceğini ifade etti.</w:t>
      </w:r>
    </w:p>
    <w:p w14:paraId="13DBC52F" w14:textId="77777777" w:rsidR="00EF3C1B" w:rsidRDefault="00000000">
      <w:pPr>
        <w:pStyle w:val="NormalWeb"/>
        <w:divId w:val="1905211495"/>
        <w:rPr>
          <w:color w:val="000000"/>
        </w:rPr>
      </w:pPr>
      <w:r>
        <w:rPr>
          <w:rStyle w:val="Gl"/>
          <w:color w:val="000000"/>
        </w:rPr>
        <w:t>6. Bireyselleştirilmiş Eğitim Programı (BEP) uygulamaları kapsamında özel eğitim ihtiyacı olan öğrenciler için yapılacak planlamalar:</w:t>
      </w:r>
    </w:p>
    <w:p w14:paraId="71285F82" w14:textId="77777777" w:rsidR="00EF3C1B" w:rsidRDefault="00000000">
      <w:pPr>
        <w:pStyle w:val="NormalWeb"/>
        <w:divId w:val="1905211495"/>
        <w:rPr>
          <w:color w:val="000000"/>
        </w:rPr>
      </w:pPr>
      <w:r>
        <w:rPr>
          <w:color w:val="000000"/>
        </w:rPr>
        <w:t>Bireyselleştirilmiş Eğitim Programı (BEP) uygulamaları kapsamında, özel eğitim ihtiyacı olan öğrencilerin akademik, sosyal ve duygusal gelişimlerini destekleyici somut, ulaşılabilir ve ölçülebilir hedefler belirlendi. Bu hedeflere ulaşmak için her öğrenciye özel destekleyici planlamalar yapıldı.</w:t>
      </w:r>
    </w:p>
    <w:p w14:paraId="34E4EA59" w14:textId="77777777" w:rsidR="00EF3C1B" w:rsidRDefault="00000000">
      <w:pPr>
        <w:pStyle w:val="NormalWeb"/>
        <w:divId w:val="1905211495"/>
        <w:rPr>
          <w:color w:val="000000"/>
        </w:rPr>
      </w:pPr>
      <w:r>
        <w:rPr>
          <w:color w:val="000000"/>
        </w:rPr>
        <w:t>Özel eğitim gereksinimi olan öğrenciler için derslerin içeriğinde, sunumunda ve ölçme yöntemlerinde yapılacak uyarlamalar (diferansiyel öğretim) görüşüldü. Ayşe GEZER ORAL, BEP uygulamalarının sadece sınıf içinde değil, öğrencinin okul ortamındaki sosyal uyumu açısından da rehberlik servisiyle tam koordinasyon içinde yürütülmesi gerektiğini dile getirdi.</w:t>
      </w:r>
    </w:p>
    <w:p w14:paraId="4CFF365E" w14:textId="77777777" w:rsidR="00EF3C1B" w:rsidRDefault="00000000">
      <w:pPr>
        <w:pStyle w:val="NormalWeb"/>
        <w:divId w:val="1905211495"/>
        <w:rPr>
          <w:color w:val="000000"/>
        </w:rPr>
      </w:pPr>
      <w:r>
        <w:rPr>
          <w:rStyle w:val="Gl"/>
          <w:color w:val="000000"/>
        </w:rPr>
        <w:t>7. Öğrencilerin yaratıcılığını, özgünlük duygusunu ve girişimcilik bilincini geliştirmeye yönelik etkinliklerin belirlenmesi:</w:t>
      </w:r>
    </w:p>
    <w:p w14:paraId="75D58C69" w14:textId="77777777" w:rsidR="00EF3C1B" w:rsidRDefault="00000000">
      <w:pPr>
        <w:pStyle w:val="NormalWeb"/>
        <w:divId w:val="1905211495"/>
        <w:rPr>
          <w:color w:val="000000"/>
        </w:rPr>
      </w:pPr>
      <w:r>
        <w:rPr>
          <w:color w:val="000000"/>
        </w:rPr>
        <w:t>Öğrencilerin yaratıcılığını, özgünlük duygusunu ve girişimcilik bilincini geliştirmeye yönelik, sanat ve bilim disiplinlerini birleştiren etkinlikler belirlendi. Bu etkinliklerin, öğrencilerin farklı açılardan problem çözme ve yenilikçi fikirler geliştirme becerilerini güçlendirmesi ana hedef olarak belirlendi.</w:t>
      </w:r>
    </w:p>
    <w:p w14:paraId="1C78974D" w14:textId="77777777" w:rsidR="00EF3C1B" w:rsidRDefault="00000000">
      <w:pPr>
        <w:pStyle w:val="NormalWeb"/>
        <w:divId w:val="1905211495"/>
        <w:rPr>
          <w:color w:val="000000"/>
        </w:rPr>
      </w:pPr>
      <w:r>
        <w:rPr>
          <w:color w:val="000000"/>
        </w:rPr>
        <w:t>"Genç Girişimciler Fikir Maratonu" ve "Tasarım Odaklı Düşünme Atölyeleri" organize edilmesi planlandı. Meryem YILMAZ, belirlenen etkinliklerin sadece birer yarışma olarak kalmaması, aynı zamanda öğrencilerin ortaya koyduğu ürünlerin patent veya telif hakları konusunda bilinçlendirilmesini önerdi.</w:t>
      </w:r>
    </w:p>
    <w:p w14:paraId="595121E3" w14:textId="77777777" w:rsidR="00EF3C1B" w:rsidRDefault="00000000">
      <w:pPr>
        <w:pStyle w:val="NormalWeb"/>
        <w:divId w:val="1905211495"/>
        <w:rPr>
          <w:color w:val="000000"/>
        </w:rPr>
      </w:pPr>
      <w:r>
        <w:rPr>
          <w:rStyle w:val="Gl"/>
          <w:color w:val="000000"/>
        </w:rPr>
        <w:t>8. Türk dilinin doğru ve etkili kullanımının desteklenmesi için yapılacak çalışmaların planlanması:</w:t>
      </w:r>
    </w:p>
    <w:p w14:paraId="188DF528" w14:textId="77777777" w:rsidR="00EF3C1B" w:rsidRDefault="00000000">
      <w:pPr>
        <w:pStyle w:val="NormalWeb"/>
        <w:divId w:val="1905211495"/>
        <w:rPr>
          <w:color w:val="000000"/>
        </w:rPr>
      </w:pPr>
      <w:r>
        <w:rPr>
          <w:color w:val="000000"/>
        </w:rPr>
        <w:t>Türk dilinin doğru, akıcı, güzel ve etkili kullanımının (hem yazılı hem sözlü) desteklenmesi için yapılacak çalışmalar detaylıca planlandı. Öğrencilerin sadece dil bilgisi kurallarını öğrenmesi değil, kendilerini yetkin bir şekilde ifade etme yeteneği kazanması amaçlandı.</w:t>
      </w:r>
    </w:p>
    <w:p w14:paraId="1902C465" w14:textId="77777777" w:rsidR="00EF3C1B" w:rsidRDefault="00000000">
      <w:pPr>
        <w:pStyle w:val="NormalWeb"/>
        <w:divId w:val="1905211495"/>
        <w:rPr>
          <w:color w:val="000000"/>
        </w:rPr>
      </w:pPr>
      <w:r>
        <w:rPr>
          <w:color w:val="000000"/>
        </w:rPr>
        <w:t>Hitabet yarışmaları, kompozisyon, deneme yazma çalışmaları ve tematik münazara etkinlikleri düzenlenmesinin yerinde olacağı vurgulandı. Fatma ÖZTÜRK, tüm ders öğretmenlerinin, kendi derslerinde dahi öğrencilerin terim, jargon ve anlatım becerilerine dikkat etmesi gerektiğini, bunun tüm okulun ortak dil kültürü sorumluluğu olduğunu vurguladı.</w:t>
      </w:r>
    </w:p>
    <w:p w14:paraId="1A350766" w14:textId="77777777" w:rsidR="00EF3C1B" w:rsidRDefault="00000000">
      <w:pPr>
        <w:pStyle w:val="NormalWeb"/>
        <w:divId w:val="1905211495"/>
        <w:rPr>
          <w:color w:val="000000"/>
        </w:rPr>
      </w:pPr>
      <w:r>
        <w:rPr>
          <w:rStyle w:val="Gl"/>
          <w:color w:val="000000"/>
        </w:rPr>
        <w:t>9. Okuryazarlık Temellerinin Bireysel Destekle Güçlendirilmesi:</w:t>
      </w:r>
    </w:p>
    <w:p w14:paraId="7F698A13" w14:textId="77777777" w:rsidR="00EF3C1B" w:rsidRDefault="00000000">
      <w:pPr>
        <w:pStyle w:val="NormalWeb"/>
        <w:divId w:val="1905211495"/>
        <w:rPr>
          <w:color w:val="000000"/>
        </w:rPr>
      </w:pPr>
      <w:r>
        <w:rPr>
          <w:color w:val="000000"/>
        </w:rPr>
        <w:t xml:space="preserve">Okuma yazma öğreniminin temel aşaması olan bu dönemde, öğrencilerin hazır bulunuşluk düzeylerinin birbirinden çok farklı olduğu gözlemlendi. Harf tanıma ve ses birleştirme süreçlerinin bireysel hızlara göre yönetilmesi gerektiği, bu nedenle küçük grup çalışmalarına ağırlık verilmesi gerektiği görüşüldü. Özellikle disleksi riski taşıyan öğrencilerin erken tespiti ve bireyselleştirilmiş destek programına alınmasının önemi vurgulandı. Öğrenmenin eğlenceli ve oyun temelli olması için sınıf içi materyallerin zenginleştirilmesi gerektiği belirtildi. Fatma </w:t>
      </w:r>
      <w:r>
        <w:rPr>
          <w:color w:val="000000"/>
        </w:rPr>
        <w:lastRenderedPageBreak/>
        <w:t>ÖZTÜRK, akran öğretimi sisteminin ve aile katılımının bu süreçte kritik bir rol oynadığını, bu nedenle veli eğitimlerinin düzenli yapılmasını önerdi. Başlangıç okuryazarlığı becerilerini ölçen tanılama araçlarının standardize edilmesi gerektiği ifade edildi.</w:t>
      </w:r>
    </w:p>
    <w:p w14:paraId="0EE2F9AF" w14:textId="77777777" w:rsidR="00EF3C1B" w:rsidRDefault="00000000">
      <w:pPr>
        <w:pStyle w:val="NormalWeb"/>
        <w:divId w:val="1905211495"/>
        <w:rPr>
          <w:color w:val="000000"/>
        </w:rPr>
      </w:pPr>
      <w:r>
        <w:rPr>
          <w:rStyle w:val="Gl"/>
          <w:color w:val="000000"/>
        </w:rPr>
        <w:t>10. Temel Matematiksel Düşünme Mantığının Geliştirilmesi:</w:t>
      </w:r>
    </w:p>
    <w:p w14:paraId="34916EF0" w14:textId="77777777" w:rsidR="00EF3C1B" w:rsidRDefault="00000000">
      <w:pPr>
        <w:pStyle w:val="NormalWeb"/>
        <w:divId w:val="1905211495"/>
        <w:rPr>
          <w:color w:val="000000"/>
        </w:rPr>
      </w:pPr>
      <w:r>
        <w:rPr>
          <w:color w:val="000000"/>
        </w:rPr>
        <w:t>Temel matematik kavramlarının somut materyallerle öğretilmesi ve ezberden kaçınılması gerektiği üzerinde duruldu. Sayı sayma ve basit dört işlem becerilerinden ziyade, öğrencilere matematiksel düşünme mantığının kazandırılması gerektiği vurgulandı. Öğrencilerin problem çözme süreçlerini yüksek sesle ifade etmelerini sağlayan "Düşün ve Paylaş" etkinliklerinin düzenlenmesi gerektiği görüşüldü. Soyut kavramların somutlaştırılması için blok, çubuk ve dijital araçların bolca kullanılması kararlaştırıldı. Ayşe GEZER ORAL, öğrencilerin matematikle ilgili olumlu tutum geliştirmesi için rekabetten uzak, eğlenceli ve grup odaklı etkinliklerin artırılmasını önerdi. Dönem sonunda temel matematik yeterliliklerini ölçen bir performans görevi hazırlanması gerektiği belirtildi.</w:t>
      </w:r>
    </w:p>
    <w:p w14:paraId="4A59C826" w14:textId="77777777" w:rsidR="00EF3C1B" w:rsidRDefault="00000000">
      <w:pPr>
        <w:pStyle w:val="NormalWeb"/>
        <w:divId w:val="1905211495"/>
        <w:rPr>
          <w:color w:val="000000"/>
        </w:rPr>
      </w:pPr>
      <w:r>
        <w:rPr>
          <w:rStyle w:val="Gl"/>
          <w:color w:val="000000"/>
        </w:rPr>
        <w:t>11. Öğrencilerin başarı durumlarının değerlendirilmesi; başarısızlığın nedenleri ve başarıyı artırıcı önlemlerin görüşülmesi:</w:t>
      </w:r>
    </w:p>
    <w:p w14:paraId="71604746" w14:textId="77777777" w:rsidR="00EF3C1B" w:rsidRDefault="00000000">
      <w:pPr>
        <w:pStyle w:val="NormalWeb"/>
        <w:divId w:val="1905211495"/>
        <w:rPr>
          <w:color w:val="000000"/>
        </w:rPr>
      </w:pPr>
      <w:r>
        <w:rPr>
          <w:color w:val="000000"/>
        </w:rPr>
        <w:t>Öğrencilerin genel akademik başarı durumları geçmiş dönem verileri ışığında kapsamlı olarak değerlendirildi. Başarısızlığın nedenleri (öğrenme eksiklikleri, sosyoekonomik faktörler, motivasyon eksikliği vb.) derinlemesine analiz edildi ve kök nedenlere inildi.</w:t>
      </w:r>
    </w:p>
    <w:p w14:paraId="159B30BC" w14:textId="77777777" w:rsidR="00EF3C1B" w:rsidRDefault="00000000">
      <w:pPr>
        <w:pStyle w:val="NormalWeb"/>
        <w:divId w:val="1905211495"/>
        <w:rPr>
          <w:color w:val="000000"/>
        </w:rPr>
      </w:pPr>
      <w:r>
        <w:rPr>
          <w:color w:val="000000"/>
        </w:rPr>
        <w:t>Başarıyı artırıcı önlemler olarak akran destekli öğrenme, hafta sonu ek ders, bireysel etütler ve gönüllü mentorluk programları belirlendi. Fatma ÖZTÜRK, özellikle devamsızlık ve okula uyum sorunları yaşayan öğrencilere yönelik erken uyarı sisteminin kurulması ve rehberlik servisi tarafından bireysel takip yapılması gerektiğini vurguladı.</w:t>
      </w:r>
    </w:p>
    <w:p w14:paraId="7DA949C6" w14:textId="77777777" w:rsidR="00EF3C1B" w:rsidRDefault="00000000">
      <w:pPr>
        <w:pStyle w:val="NormalWeb"/>
        <w:divId w:val="1905211495"/>
        <w:rPr>
          <w:color w:val="000000"/>
        </w:rPr>
      </w:pPr>
      <w:r>
        <w:rPr>
          <w:rStyle w:val="Gl"/>
          <w:color w:val="000000"/>
        </w:rPr>
        <w:t>12. İkinci dönemde yapılacak çalışmaların ve hedeflerin belirlenmesi:</w:t>
      </w:r>
    </w:p>
    <w:p w14:paraId="62803AF2" w14:textId="77777777" w:rsidR="00EF3C1B" w:rsidRDefault="00000000">
      <w:pPr>
        <w:pStyle w:val="NormalWeb"/>
        <w:divId w:val="1905211495"/>
        <w:rPr>
          <w:color w:val="000000"/>
        </w:rPr>
      </w:pPr>
      <w:r>
        <w:rPr>
          <w:color w:val="000000"/>
        </w:rPr>
        <w:t>İlk dönem başarı, devamsızlık ve disiplin analizleri ışığında, ikinci dönemde yapılacak çalışmalar ve hedefler belirlendi. Bu hedeflerin ilk döneme göre daha spesifik, ölçülebilir ve öğrenci odaklı olması amaçlandı.</w:t>
      </w:r>
    </w:p>
    <w:p w14:paraId="6C62463B" w14:textId="77777777" w:rsidR="00EF3C1B" w:rsidRDefault="00000000">
      <w:pPr>
        <w:pStyle w:val="NormalWeb"/>
        <w:divId w:val="1905211495"/>
        <w:rPr>
          <w:color w:val="000000"/>
        </w:rPr>
      </w:pPr>
      <w:r>
        <w:rPr>
          <w:color w:val="000000"/>
        </w:rPr>
        <w:t>Fatma ÖZTÜRK, ikinci dönemde öğrencilerde oluşabilecek motivasyon düşüklüğünü engellemek için sosyal ve kültürel etkinliklerin de temposunun artarak devam etmesi gerektiğini belirtti.</w:t>
      </w:r>
    </w:p>
    <w:p w14:paraId="112D29FE" w14:textId="77777777" w:rsidR="00EF3C1B" w:rsidRDefault="00000000">
      <w:pPr>
        <w:pStyle w:val="NormalWeb"/>
        <w:divId w:val="1905211495"/>
        <w:rPr>
          <w:color w:val="000000"/>
        </w:rPr>
      </w:pPr>
      <w:r>
        <w:rPr>
          <w:rStyle w:val="Gl"/>
          <w:color w:val="000000"/>
        </w:rPr>
        <w:t>13. Yazma Öncesi İnce Motor Becerilerinin Gelişimi:</w:t>
      </w:r>
    </w:p>
    <w:p w14:paraId="0CB09FC3" w14:textId="77777777" w:rsidR="00EF3C1B" w:rsidRDefault="00000000">
      <w:pPr>
        <w:pStyle w:val="NormalWeb"/>
        <w:divId w:val="1905211495"/>
        <w:rPr>
          <w:color w:val="000000"/>
        </w:rPr>
      </w:pPr>
      <w:r>
        <w:rPr>
          <w:color w:val="000000"/>
        </w:rPr>
        <w:t>Öğrencilerin kalem tutma, kesme, yapıştırma gibi ince motor becerilerinde gelişim eksiklikleri olduğu tespit edildi. Bu becerilerin akademik başarıyı doğrudan etkilediği, bu nedenle müfredata daha fazla uygulamalı sanat ve el işi etkinliğinin eklenmesi gerektiği görüşüldü. Geleneksel kalem-kâğıt çalışmalarından önce, oyun hamuru, makas ve boncuk dizme gibi araçlarla parmak ve el kaslarının güçlendirilmesi gerektiği vurgulandı. Ayşe GEZER ORAL, bu becerilerin sadece görsel sanatlar dersinde değil, tüm derslerde kısa dikkat etkinlikleri şeklinde uygulanmasının sağlanması gerektiğini belirtti. Öğrenci oturma düzenlerinin ve masa yüksekliklerinin ergonomik açıdan kontrol edilmesi gerektiği ifade edildi. Öğrencilerin el becerilerini belgeleyen bir gelişim dosyası tutulması kararlaştırıldı.</w:t>
      </w:r>
    </w:p>
    <w:p w14:paraId="6EEDAEF0" w14:textId="77777777" w:rsidR="00EF3C1B" w:rsidRDefault="00000000">
      <w:pPr>
        <w:pStyle w:val="NormalWeb"/>
        <w:divId w:val="1905211495"/>
        <w:rPr>
          <w:color w:val="000000"/>
        </w:rPr>
      </w:pPr>
      <w:r>
        <w:rPr>
          <w:rStyle w:val="Gl"/>
          <w:color w:val="000000"/>
        </w:rPr>
        <w:t>14. Dilek ve Temenniler:</w:t>
      </w:r>
    </w:p>
    <w:p w14:paraId="2F5D28BF" w14:textId="77777777" w:rsidR="00EF3C1B" w:rsidRDefault="00000000">
      <w:pPr>
        <w:pStyle w:val="NormalWeb"/>
        <w:divId w:val="1905211495"/>
        <w:rPr>
          <w:color w:val="000000"/>
        </w:rPr>
      </w:pPr>
      <w:r>
        <w:rPr>
          <w:color w:val="000000"/>
        </w:rPr>
        <w:lastRenderedPageBreak/>
        <w:t>Zümre Başkanı Meryem YILMAZ tarafından iyi dilek ve temennilerde bulundu.</w:t>
      </w:r>
    </w:p>
    <w:p w14:paraId="23F0EF18" w14:textId="77777777" w:rsidR="00EF3C1B" w:rsidRDefault="00000000">
      <w:pPr>
        <w:pStyle w:val="NormalWeb"/>
        <w:divId w:val="1905211495"/>
        <w:rPr>
          <w:color w:val="000000"/>
        </w:rPr>
      </w:pPr>
      <w:r>
        <w:rPr>
          <w:rStyle w:val="Gl"/>
          <w:color w:val="000000"/>
        </w:rPr>
        <w:t>15. Kapanış:</w:t>
      </w:r>
    </w:p>
    <w:p w14:paraId="6D113F09" w14:textId="77777777" w:rsidR="00EF3C1B" w:rsidRDefault="00000000">
      <w:pPr>
        <w:pStyle w:val="NormalWeb"/>
        <w:divId w:val="1905211495"/>
        <w:rPr>
          <w:color w:val="000000"/>
        </w:rPr>
      </w:pPr>
      <w:r>
        <w:rPr>
          <w:color w:val="000000"/>
        </w:rPr>
        <w:t>Zümre Başkanı Meryem YILMAZ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024"/>
        <w:gridCol w:w="3024"/>
        <w:gridCol w:w="3024"/>
      </w:tblGrid>
      <w:tr w:rsidR="00EF3C1B" w14:paraId="4173F22C" w14:textId="77777777">
        <w:trPr>
          <w:divId w:val="622614270"/>
          <w:trHeight w:val="1600"/>
        </w:trPr>
        <w:tc>
          <w:tcPr>
            <w:tcW w:w="1666" w:type="pct"/>
            <w:tcBorders>
              <w:top w:val="nil"/>
              <w:left w:val="nil"/>
              <w:bottom w:val="nil"/>
              <w:right w:val="nil"/>
            </w:tcBorders>
            <w:tcMar>
              <w:top w:w="300" w:type="dxa"/>
              <w:left w:w="200" w:type="dxa"/>
              <w:bottom w:w="300" w:type="dxa"/>
              <w:right w:w="200" w:type="dxa"/>
            </w:tcMar>
            <w:hideMark/>
          </w:tcPr>
          <w:p w14:paraId="49AC3BDF" w14:textId="77777777" w:rsidR="00EF3C1B" w:rsidRDefault="00000000">
            <w:pPr>
              <w:spacing w:before="480"/>
              <w:jc w:val="center"/>
              <w:divId w:val="1672372826"/>
              <w:rPr>
                <w:rFonts w:eastAsia="Times New Roman"/>
                <w:color w:val="000000"/>
              </w:rPr>
            </w:pPr>
            <w:r>
              <w:rPr>
                <w:rFonts w:eastAsia="Times New Roman"/>
                <w:color w:val="666666"/>
                <w:sz w:val="15"/>
                <w:szCs w:val="15"/>
              </w:rPr>
              <w:t>İmza</w:t>
            </w:r>
            <w:r>
              <w:rPr>
                <w:rFonts w:eastAsia="Times New Roman"/>
                <w:color w:val="000000"/>
              </w:rPr>
              <w:t xml:space="preserve"> </w:t>
            </w:r>
          </w:p>
          <w:p w14:paraId="6F81C0BC" w14:textId="77777777" w:rsidR="00EF3C1B" w:rsidRDefault="00000000">
            <w:pPr>
              <w:spacing w:before="480"/>
              <w:jc w:val="center"/>
              <w:divId w:val="709647551"/>
              <w:rPr>
                <w:rFonts w:eastAsia="Times New Roman"/>
                <w:b/>
                <w:bCs/>
                <w:color w:val="000000"/>
              </w:rPr>
            </w:pPr>
            <w:r>
              <w:rPr>
                <w:rFonts w:eastAsia="Times New Roman"/>
                <w:b/>
                <w:bCs/>
                <w:color w:val="000000"/>
              </w:rPr>
              <w:t>Meryem YILMAZ</w:t>
            </w:r>
          </w:p>
          <w:p w14:paraId="5FCBED9F" w14:textId="77777777" w:rsidR="00EF3C1B"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2D67DA62" w14:textId="77777777" w:rsidR="00EF3C1B" w:rsidRDefault="00000000">
            <w:pPr>
              <w:spacing w:before="480"/>
              <w:jc w:val="center"/>
              <w:divId w:val="1013147387"/>
              <w:rPr>
                <w:rFonts w:eastAsia="Times New Roman"/>
                <w:color w:val="000000"/>
              </w:rPr>
            </w:pPr>
            <w:r>
              <w:rPr>
                <w:rFonts w:eastAsia="Times New Roman"/>
                <w:color w:val="666666"/>
                <w:sz w:val="15"/>
                <w:szCs w:val="15"/>
              </w:rPr>
              <w:t>İmza</w:t>
            </w:r>
            <w:r>
              <w:rPr>
                <w:rFonts w:eastAsia="Times New Roman"/>
                <w:color w:val="000000"/>
              </w:rPr>
              <w:t xml:space="preserve"> </w:t>
            </w:r>
          </w:p>
          <w:p w14:paraId="0431B17B" w14:textId="77777777" w:rsidR="00EF3C1B" w:rsidRDefault="00000000">
            <w:pPr>
              <w:spacing w:before="480"/>
              <w:jc w:val="center"/>
              <w:divId w:val="1086414546"/>
              <w:rPr>
                <w:rFonts w:eastAsia="Times New Roman"/>
                <w:b/>
                <w:bCs/>
                <w:color w:val="000000"/>
              </w:rPr>
            </w:pPr>
            <w:r>
              <w:rPr>
                <w:rFonts w:eastAsia="Times New Roman"/>
                <w:b/>
                <w:bCs/>
                <w:color w:val="000000"/>
              </w:rPr>
              <w:t>Fatma ÖZTÜRK</w:t>
            </w:r>
          </w:p>
          <w:p w14:paraId="017260ED" w14:textId="77777777" w:rsidR="00EF3C1B"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1BFD2224" w14:textId="77777777" w:rsidR="00EF3C1B" w:rsidRDefault="00000000">
            <w:pPr>
              <w:spacing w:before="480"/>
              <w:jc w:val="center"/>
              <w:divId w:val="1200050167"/>
              <w:rPr>
                <w:rFonts w:eastAsia="Times New Roman"/>
                <w:color w:val="000000"/>
              </w:rPr>
            </w:pPr>
            <w:r>
              <w:rPr>
                <w:rFonts w:eastAsia="Times New Roman"/>
                <w:color w:val="666666"/>
                <w:sz w:val="15"/>
                <w:szCs w:val="15"/>
              </w:rPr>
              <w:t>İmza</w:t>
            </w:r>
            <w:r>
              <w:rPr>
                <w:rFonts w:eastAsia="Times New Roman"/>
                <w:color w:val="000000"/>
              </w:rPr>
              <w:t xml:space="preserve"> </w:t>
            </w:r>
          </w:p>
          <w:p w14:paraId="591381D7" w14:textId="77777777" w:rsidR="00EF3C1B" w:rsidRDefault="00000000">
            <w:pPr>
              <w:spacing w:before="480"/>
              <w:jc w:val="center"/>
              <w:divId w:val="1171985142"/>
              <w:rPr>
                <w:rFonts w:eastAsia="Times New Roman"/>
                <w:b/>
                <w:bCs/>
                <w:color w:val="000000"/>
              </w:rPr>
            </w:pPr>
            <w:r>
              <w:rPr>
                <w:rFonts w:eastAsia="Times New Roman"/>
                <w:b/>
                <w:bCs/>
                <w:color w:val="000000"/>
              </w:rPr>
              <w:t>Ayşe GEZER ORAL</w:t>
            </w:r>
          </w:p>
          <w:p w14:paraId="5C68F460" w14:textId="77777777" w:rsidR="00EF3C1B" w:rsidRDefault="00000000">
            <w:pPr>
              <w:spacing w:before="480"/>
              <w:jc w:val="center"/>
              <w:rPr>
                <w:rFonts w:eastAsia="Times New Roman"/>
                <w:color w:val="666666"/>
              </w:rPr>
            </w:pPr>
            <w:r>
              <w:rPr>
                <w:rFonts w:eastAsia="Times New Roman"/>
                <w:color w:val="666666"/>
              </w:rPr>
              <w:t>Öğretmen</w:t>
            </w:r>
          </w:p>
        </w:tc>
      </w:tr>
    </w:tbl>
    <w:p w14:paraId="181E6006" w14:textId="77777777" w:rsidR="00EF3C1B" w:rsidRDefault="00000000">
      <w:pPr>
        <w:jc w:val="center"/>
        <w:divId w:val="1651670945"/>
        <w:rPr>
          <w:rFonts w:eastAsia="Times New Roman"/>
          <w:color w:val="000000"/>
        </w:rPr>
      </w:pPr>
      <w:r>
        <w:rPr>
          <w:rFonts w:eastAsia="Times New Roman"/>
          <w:color w:val="000000"/>
        </w:rPr>
        <w:t xml:space="preserve">...../...../......... </w:t>
      </w:r>
    </w:p>
    <w:p w14:paraId="60567815" w14:textId="77777777" w:rsidR="00EF3C1B" w:rsidRDefault="00000000">
      <w:pPr>
        <w:jc w:val="center"/>
        <w:divId w:val="1794397276"/>
        <w:rPr>
          <w:rFonts w:eastAsia="Times New Roman"/>
          <w:b/>
          <w:bCs/>
          <w:color w:val="000000"/>
        </w:rPr>
      </w:pPr>
      <w:r>
        <w:rPr>
          <w:rFonts w:eastAsia="Times New Roman"/>
          <w:b/>
          <w:bCs/>
          <w:color w:val="000000"/>
        </w:rPr>
        <w:t xml:space="preserve">UYGUNDUR </w:t>
      </w:r>
    </w:p>
    <w:p w14:paraId="7049966B" w14:textId="77777777" w:rsidR="00EF3C1B" w:rsidRDefault="00000000">
      <w:pPr>
        <w:jc w:val="center"/>
        <w:divId w:val="1775247944"/>
        <w:rPr>
          <w:rFonts w:eastAsia="Times New Roman"/>
          <w:color w:val="000000"/>
        </w:rPr>
      </w:pPr>
      <w:r>
        <w:rPr>
          <w:rFonts w:eastAsia="Times New Roman"/>
          <w:color w:val="666666"/>
          <w:sz w:val="15"/>
          <w:szCs w:val="15"/>
        </w:rPr>
        <w:t>İmza</w:t>
      </w:r>
      <w:r>
        <w:rPr>
          <w:rFonts w:eastAsia="Times New Roman"/>
          <w:color w:val="000000"/>
        </w:rPr>
        <w:t xml:space="preserve"> </w:t>
      </w:r>
    </w:p>
    <w:p w14:paraId="521C6A13" w14:textId="77777777" w:rsidR="00EF3C1B" w:rsidRDefault="00000000">
      <w:pPr>
        <w:jc w:val="center"/>
        <w:divId w:val="1148547660"/>
        <w:rPr>
          <w:rFonts w:eastAsia="Times New Roman"/>
          <w:b/>
          <w:bCs/>
          <w:color w:val="000000"/>
        </w:rPr>
      </w:pPr>
      <w:r>
        <w:rPr>
          <w:rFonts w:eastAsia="Times New Roman"/>
          <w:b/>
          <w:bCs/>
          <w:color w:val="000000"/>
        </w:rPr>
        <w:t xml:space="preserve">Kubilay ORAL </w:t>
      </w:r>
    </w:p>
    <w:p w14:paraId="271E47A0" w14:textId="77777777" w:rsidR="002B23EE" w:rsidRDefault="00000000">
      <w:pPr>
        <w:jc w:val="center"/>
        <w:divId w:val="2027436941"/>
        <w:rPr>
          <w:rFonts w:eastAsia="Times New Roman"/>
          <w:color w:val="666666"/>
        </w:rPr>
      </w:pPr>
      <w:r>
        <w:rPr>
          <w:rFonts w:eastAsia="Times New Roman"/>
          <w:color w:val="666666"/>
        </w:rPr>
        <w:t xml:space="preserve">Okul Müdürü </w:t>
      </w:r>
    </w:p>
    <w:sectPr w:rsidR="002B23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188C"/>
    <w:multiLevelType w:val="hybridMultilevel"/>
    <w:tmpl w:val="F54AAF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20E79B3"/>
    <w:multiLevelType w:val="multilevel"/>
    <w:tmpl w:val="EC02C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1128362">
    <w:abstractNumId w:val="1"/>
  </w:num>
  <w:num w:numId="2" w16cid:durableId="781652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A4C"/>
    <w:rsid w:val="002B23EE"/>
    <w:rsid w:val="00562EFB"/>
    <w:rsid w:val="008F7544"/>
    <w:rsid w:val="00A95A4C"/>
    <w:rsid w:val="00BC5AA8"/>
    <w:rsid w:val="00CF7448"/>
    <w:rsid w:val="00EF3C1B"/>
    <w:rsid w:val="00F668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9D0CE"/>
  <w15:chartTrackingRefBased/>
  <w15:docId w15:val="{C136A810-0568-46DD-B4B3-322FE676F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 w:type="paragraph" w:styleId="ListeParagraf">
    <w:name w:val="List Paragraph"/>
    <w:basedOn w:val="Normal"/>
    <w:uiPriority w:val="34"/>
    <w:qFormat/>
    <w:rsid w:val="00A95A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14270">
      <w:marLeft w:val="0"/>
      <w:marRight w:val="0"/>
      <w:marTop w:val="750"/>
      <w:marBottom w:val="0"/>
      <w:divBdr>
        <w:top w:val="none" w:sz="0" w:space="0" w:color="auto"/>
        <w:left w:val="none" w:sz="0" w:space="0" w:color="auto"/>
        <w:bottom w:val="none" w:sz="0" w:space="0" w:color="auto"/>
        <w:right w:val="none" w:sz="0" w:space="0" w:color="auto"/>
      </w:divBdr>
      <w:divsChild>
        <w:div w:id="1672372826">
          <w:marLeft w:val="0"/>
          <w:marRight w:val="0"/>
          <w:marTop w:val="0"/>
          <w:marBottom w:val="225"/>
          <w:divBdr>
            <w:top w:val="none" w:sz="0" w:space="0" w:color="auto"/>
            <w:left w:val="none" w:sz="0" w:space="0" w:color="auto"/>
            <w:bottom w:val="single" w:sz="6" w:space="0" w:color="333333"/>
            <w:right w:val="none" w:sz="0" w:space="0" w:color="auto"/>
          </w:divBdr>
        </w:div>
        <w:div w:id="709647551">
          <w:marLeft w:val="0"/>
          <w:marRight w:val="0"/>
          <w:marTop w:val="0"/>
          <w:marBottom w:val="75"/>
          <w:divBdr>
            <w:top w:val="none" w:sz="0" w:space="0" w:color="auto"/>
            <w:left w:val="none" w:sz="0" w:space="0" w:color="auto"/>
            <w:bottom w:val="none" w:sz="0" w:space="0" w:color="auto"/>
            <w:right w:val="none" w:sz="0" w:space="0" w:color="auto"/>
          </w:divBdr>
        </w:div>
        <w:div w:id="1013147387">
          <w:marLeft w:val="0"/>
          <w:marRight w:val="0"/>
          <w:marTop w:val="0"/>
          <w:marBottom w:val="225"/>
          <w:divBdr>
            <w:top w:val="none" w:sz="0" w:space="0" w:color="auto"/>
            <w:left w:val="none" w:sz="0" w:space="0" w:color="auto"/>
            <w:bottom w:val="single" w:sz="6" w:space="0" w:color="333333"/>
            <w:right w:val="none" w:sz="0" w:space="0" w:color="auto"/>
          </w:divBdr>
        </w:div>
        <w:div w:id="1086414546">
          <w:marLeft w:val="0"/>
          <w:marRight w:val="0"/>
          <w:marTop w:val="0"/>
          <w:marBottom w:val="75"/>
          <w:divBdr>
            <w:top w:val="none" w:sz="0" w:space="0" w:color="auto"/>
            <w:left w:val="none" w:sz="0" w:space="0" w:color="auto"/>
            <w:bottom w:val="none" w:sz="0" w:space="0" w:color="auto"/>
            <w:right w:val="none" w:sz="0" w:space="0" w:color="auto"/>
          </w:divBdr>
        </w:div>
        <w:div w:id="1200050167">
          <w:marLeft w:val="0"/>
          <w:marRight w:val="0"/>
          <w:marTop w:val="0"/>
          <w:marBottom w:val="225"/>
          <w:divBdr>
            <w:top w:val="none" w:sz="0" w:space="0" w:color="auto"/>
            <w:left w:val="none" w:sz="0" w:space="0" w:color="auto"/>
            <w:bottom w:val="single" w:sz="6" w:space="0" w:color="333333"/>
            <w:right w:val="none" w:sz="0" w:space="0" w:color="auto"/>
          </w:divBdr>
        </w:div>
        <w:div w:id="1171985142">
          <w:marLeft w:val="0"/>
          <w:marRight w:val="0"/>
          <w:marTop w:val="0"/>
          <w:marBottom w:val="75"/>
          <w:divBdr>
            <w:top w:val="none" w:sz="0" w:space="0" w:color="auto"/>
            <w:left w:val="none" w:sz="0" w:space="0" w:color="auto"/>
            <w:bottom w:val="none" w:sz="0" w:space="0" w:color="auto"/>
            <w:right w:val="none" w:sz="0" w:space="0" w:color="auto"/>
          </w:divBdr>
        </w:div>
      </w:divsChild>
    </w:div>
    <w:div w:id="732316788">
      <w:marLeft w:val="0"/>
      <w:marRight w:val="0"/>
      <w:marTop w:val="0"/>
      <w:marBottom w:val="450"/>
      <w:divBdr>
        <w:top w:val="none" w:sz="0" w:space="0" w:color="auto"/>
        <w:left w:val="none" w:sz="0" w:space="0" w:color="auto"/>
        <w:bottom w:val="none" w:sz="0" w:space="0" w:color="auto"/>
        <w:right w:val="none" w:sz="0" w:space="0" w:color="auto"/>
      </w:divBdr>
    </w:div>
    <w:div w:id="953514484">
      <w:marLeft w:val="0"/>
      <w:marRight w:val="0"/>
      <w:marTop w:val="0"/>
      <w:marBottom w:val="450"/>
      <w:divBdr>
        <w:top w:val="none" w:sz="0" w:space="0" w:color="auto"/>
        <w:left w:val="none" w:sz="0" w:space="0" w:color="auto"/>
        <w:bottom w:val="none" w:sz="0" w:space="0" w:color="auto"/>
        <w:right w:val="none" w:sz="0" w:space="0" w:color="auto"/>
      </w:divBdr>
    </w:div>
    <w:div w:id="958031063">
      <w:marLeft w:val="0"/>
      <w:marRight w:val="0"/>
      <w:marTop w:val="0"/>
      <w:marBottom w:val="450"/>
      <w:divBdr>
        <w:top w:val="none" w:sz="0" w:space="0" w:color="auto"/>
        <w:left w:val="none" w:sz="0" w:space="0" w:color="auto"/>
        <w:bottom w:val="none" w:sz="0" w:space="0" w:color="auto"/>
        <w:right w:val="none" w:sz="0" w:space="0" w:color="auto"/>
      </w:divBdr>
    </w:div>
    <w:div w:id="1615208069">
      <w:marLeft w:val="0"/>
      <w:marRight w:val="0"/>
      <w:marTop w:val="0"/>
      <w:marBottom w:val="450"/>
      <w:divBdr>
        <w:top w:val="none" w:sz="0" w:space="0" w:color="auto"/>
        <w:left w:val="none" w:sz="0" w:space="0" w:color="auto"/>
        <w:bottom w:val="none" w:sz="0" w:space="0" w:color="auto"/>
        <w:right w:val="none" w:sz="0" w:space="0" w:color="auto"/>
      </w:divBdr>
    </w:div>
    <w:div w:id="1905211495">
      <w:marLeft w:val="0"/>
      <w:marRight w:val="0"/>
      <w:marTop w:val="0"/>
      <w:marBottom w:val="450"/>
      <w:divBdr>
        <w:top w:val="none" w:sz="0" w:space="0" w:color="auto"/>
        <w:left w:val="none" w:sz="0" w:space="0" w:color="auto"/>
        <w:bottom w:val="none" w:sz="0" w:space="0" w:color="auto"/>
        <w:right w:val="none" w:sz="0" w:space="0" w:color="auto"/>
      </w:divBdr>
    </w:div>
    <w:div w:id="2027436941">
      <w:marLeft w:val="0"/>
      <w:marRight w:val="0"/>
      <w:marTop w:val="900"/>
      <w:marBottom w:val="0"/>
      <w:divBdr>
        <w:top w:val="none" w:sz="0" w:space="0" w:color="auto"/>
        <w:left w:val="none" w:sz="0" w:space="0" w:color="auto"/>
        <w:bottom w:val="none" w:sz="0" w:space="0" w:color="auto"/>
        <w:right w:val="none" w:sz="0" w:space="0" w:color="auto"/>
      </w:divBdr>
      <w:divsChild>
        <w:div w:id="1651670945">
          <w:marLeft w:val="0"/>
          <w:marRight w:val="0"/>
          <w:marTop w:val="0"/>
          <w:marBottom w:val="300"/>
          <w:divBdr>
            <w:top w:val="none" w:sz="0" w:space="0" w:color="auto"/>
            <w:left w:val="none" w:sz="0" w:space="0" w:color="auto"/>
            <w:bottom w:val="none" w:sz="0" w:space="0" w:color="auto"/>
            <w:right w:val="none" w:sz="0" w:space="0" w:color="auto"/>
          </w:divBdr>
        </w:div>
        <w:div w:id="1794397276">
          <w:marLeft w:val="0"/>
          <w:marRight w:val="0"/>
          <w:marTop w:val="0"/>
          <w:marBottom w:val="450"/>
          <w:divBdr>
            <w:top w:val="none" w:sz="0" w:space="0" w:color="auto"/>
            <w:left w:val="none" w:sz="0" w:space="0" w:color="auto"/>
            <w:bottom w:val="none" w:sz="0" w:space="0" w:color="auto"/>
            <w:right w:val="none" w:sz="0" w:space="0" w:color="auto"/>
          </w:divBdr>
        </w:div>
        <w:div w:id="1775247944">
          <w:marLeft w:val="0"/>
          <w:marRight w:val="0"/>
          <w:marTop w:val="0"/>
          <w:marBottom w:val="225"/>
          <w:divBdr>
            <w:top w:val="none" w:sz="0" w:space="0" w:color="auto"/>
            <w:left w:val="none" w:sz="0" w:space="0" w:color="auto"/>
            <w:bottom w:val="single" w:sz="6" w:space="0" w:color="333333"/>
            <w:right w:val="none" w:sz="0" w:space="0" w:color="auto"/>
          </w:divBdr>
        </w:div>
        <w:div w:id="1148547660">
          <w:marLeft w:val="0"/>
          <w:marRight w:val="0"/>
          <w:marTop w:val="0"/>
          <w:marBottom w:val="75"/>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1700</Words>
  <Characters>9694</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Zümre Toplantı Tutanağı</vt:lpstr>
    </vt:vector>
  </TitlesOfParts>
  <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e20423</dc:creator>
  <cp:keywords/>
  <dc:description/>
  <cp:lastModifiedBy>e20423</cp:lastModifiedBy>
  <cp:revision>6</cp:revision>
  <dcterms:created xsi:type="dcterms:W3CDTF">2026-02-10T08:02:00Z</dcterms:created>
  <dcterms:modified xsi:type="dcterms:W3CDTF">2026-02-10T08:20:00Z</dcterms:modified>
</cp:coreProperties>
</file>